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D" w:rsidRDefault="00290D0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943610" cy="943610"/>
            <wp:effectExtent l="0" t="0" r="8890" b="8890"/>
            <wp:docPr id="1" name="Рисунок 1" descr="C:\Users\Karato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to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9D" w:rsidRDefault="00290D0D">
      <w:pPr>
        <w:framePr w:w="1003" w:h="998" w:wrap="around" w:vAnchor="text" w:hAnchor="margin" w:x="5286" w:y="83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34365" cy="634365"/>
            <wp:effectExtent l="0" t="0" r="0" b="0"/>
            <wp:docPr id="2" name="Рисунок 2" descr="C:\Users\Karato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to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9D" w:rsidRDefault="00FB159D">
      <w:pPr>
        <w:rPr>
          <w:sz w:val="2"/>
          <w:szCs w:val="2"/>
        </w:rPr>
        <w:sectPr w:rsidR="00FB159D">
          <w:type w:val="continuous"/>
          <w:pgSz w:w="11905" w:h="16837"/>
          <w:pgMar w:top="581" w:right="9833" w:bottom="1527" w:left="574" w:header="0" w:footer="3" w:gutter="0"/>
          <w:cols w:space="720"/>
          <w:noEndnote/>
          <w:docGrid w:linePitch="360"/>
        </w:sectPr>
      </w:pPr>
    </w:p>
    <w:p w:rsidR="00FB159D" w:rsidRDefault="00FB159D">
      <w:pPr>
        <w:framePr w:w="11909" w:h="640" w:hRule="exact" w:wrap="notBeside" w:vAnchor="text" w:hAnchor="text" w:xAlign="center" w:y="1" w:anchorLock="1"/>
      </w:pPr>
    </w:p>
    <w:p w:rsidR="00FB159D" w:rsidRDefault="00BF7DED">
      <w:pPr>
        <w:rPr>
          <w:sz w:val="2"/>
          <w:szCs w:val="2"/>
        </w:rPr>
        <w:sectPr w:rsidR="00FB15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B159D" w:rsidRDefault="00BF7DED">
      <w:pPr>
        <w:pStyle w:val="10"/>
        <w:keepNext/>
        <w:keepLines/>
        <w:shd w:val="clear" w:color="auto" w:fill="auto"/>
      </w:pPr>
      <w:bookmarkStart w:id="0" w:name="bookmark0"/>
      <w:r>
        <w:t>АРБИТРАЖНЫЙ СУД РОСТОВСКОЙ ОБЛАСТИ Именем Российской Федерации</w:t>
      </w:r>
      <w:bookmarkEnd w:id="0"/>
    </w:p>
    <w:p w:rsidR="00FB159D" w:rsidRDefault="00BF7DED">
      <w:pPr>
        <w:pStyle w:val="10"/>
        <w:keepNext/>
        <w:keepLines/>
        <w:shd w:val="clear" w:color="auto" w:fill="auto"/>
        <w:spacing w:line="280" w:lineRule="exact"/>
        <w:sectPr w:rsidR="00FB159D">
          <w:type w:val="continuous"/>
          <w:pgSz w:w="11905" w:h="16837"/>
          <w:pgMar w:top="581" w:right="1788" w:bottom="1527" w:left="3084" w:header="0" w:footer="3" w:gutter="0"/>
          <w:cols w:space="720"/>
          <w:noEndnote/>
          <w:docGrid w:linePitch="360"/>
        </w:sectPr>
      </w:pPr>
      <w:bookmarkStart w:id="1" w:name="bookmark1"/>
      <w:proofErr w:type="gramStart"/>
      <w:r>
        <w:t>Р</w:t>
      </w:r>
      <w:proofErr w:type="gramEnd"/>
      <w:r>
        <w:t xml:space="preserve"> Е Ш Е Н И Е</w:t>
      </w:r>
      <w:bookmarkEnd w:id="1"/>
    </w:p>
    <w:p w:rsidR="00FB159D" w:rsidRDefault="00FB159D">
      <w:pPr>
        <w:framePr w:w="11912" w:h="201" w:hRule="exact" w:wrap="notBeside" w:vAnchor="text" w:hAnchor="text" w:xAlign="center" w:y="1" w:anchorLock="1"/>
      </w:pPr>
    </w:p>
    <w:p w:rsidR="00FB159D" w:rsidRDefault="00BF7DED">
      <w:pPr>
        <w:rPr>
          <w:sz w:val="2"/>
          <w:szCs w:val="2"/>
        </w:rPr>
        <w:sectPr w:rsidR="00FB15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B159D" w:rsidRDefault="00BF7DED">
      <w:pPr>
        <w:pStyle w:val="4"/>
        <w:shd w:val="clear" w:color="auto" w:fill="auto"/>
        <w:spacing w:after="0" w:line="230" w:lineRule="exact"/>
        <w:ind w:left="20" w:firstLine="0"/>
      </w:pPr>
      <w:r>
        <w:lastRenderedPageBreak/>
        <w:t>город Ростов-на-Дону</w:t>
      </w:r>
    </w:p>
    <w:p w:rsidR="00FB159D" w:rsidRDefault="00BF7DED">
      <w:pPr>
        <w:pStyle w:val="4"/>
        <w:shd w:val="clear" w:color="auto" w:fill="auto"/>
        <w:spacing w:after="259" w:line="230" w:lineRule="exact"/>
        <w:ind w:left="20" w:firstLine="0"/>
      </w:pPr>
      <w:r>
        <w:t>«17» июля 2012</w:t>
      </w:r>
    </w:p>
    <w:p w:rsidR="00FB159D" w:rsidRDefault="00BF7DED">
      <w:pPr>
        <w:pStyle w:val="4"/>
        <w:shd w:val="clear" w:color="auto" w:fill="auto"/>
        <w:spacing w:after="244" w:line="278" w:lineRule="exact"/>
        <w:ind w:left="560" w:firstLine="0"/>
        <w:jc w:val="center"/>
      </w:pPr>
      <w:r>
        <w:t>Резолютивная часть решения объявлена «13» июля 2012 Решение в полном объеме изготовлено «17» июля 2012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4300" w:firstLine="560"/>
        <w:jc w:val="left"/>
      </w:pPr>
      <w:proofErr w:type="gramStart"/>
      <w:r>
        <w:t xml:space="preserve">Арбитражный суд Ростовской области в составе судьи Соколовой Т.Б. при ведении протокола судебного заседания секретарем судебного заседания </w:t>
      </w:r>
      <w:proofErr w:type="spellStart"/>
      <w:r>
        <w:t>Замуреевой</w:t>
      </w:r>
      <w:proofErr w:type="spellEnd"/>
      <w:r>
        <w:t xml:space="preserve"> Т.В. рассмотрев</w:t>
      </w:r>
      <w:proofErr w:type="gramEnd"/>
      <w:r>
        <w:t xml:space="preserve"> в судебном заседании дело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0"/>
      </w:pPr>
      <w:r>
        <w:t>по иску Муниципального бюджетного образовательного учреждения дополнительного образования детей детско-юношеский центр «Боевые перчатки» ИНН 6161032036, ОГРН 1026102909777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0"/>
      </w:pPr>
      <w:r>
        <w:t>к Федеральному государственному казенному учреждению «40-й отряд федеральной противопожарной службы по Ростовской области» ИНН 6101036766, ОГРН 1066101007246</w:t>
      </w:r>
    </w:p>
    <w:p w:rsidR="00FB159D" w:rsidRDefault="00BF7DED">
      <w:pPr>
        <w:pStyle w:val="4"/>
        <w:shd w:val="clear" w:color="auto" w:fill="auto"/>
        <w:spacing w:after="0" w:line="552" w:lineRule="exact"/>
        <w:ind w:left="720" w:right="5060"/>
        <w:jc w:val="left"/>
      </w:pPr>
      <w:r>
        <w:t>о возмещении убытков в сумме 7 000 руб. при участии:</w:t>
      </w:r>
    </w:p>
    <w:p w:rsidR="00FB159D" w:rsidRDefault="00BF7DED">
      <w:pPr>
        <w:pStyle w:val="4"/>
        <w:shd w:val="clear" w:color="auto" w:fill="auto"/>
        <w:spacing w:after="240" w:line="274" w:lineRule="exact"/>
        <w:ind w:left="20" w:right="700" w:firstLine="0"/>
        <w:jc w:val="left"/>
      </w:pPr>
      <w:r>
        <w:t xml:space="preserve">от истца: представитель </w:t>
      </w:r>
      <w:proofErr w:type="spellStart"/>
      <w:r>
        <w:t>Черноиванова</w:t>
      </w:r>
      <w:proofErr w:type="spellEnd"/>
      <w:r>
        <w:t xml:space="preserve"> О.А. (доверенность б/н от 30 января 2012) от ответчика: представитель Курбанов Н.А. (доверенность № 636 от 03 апреля 2012)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00"/>
      </w:pPr>
      <w:r>
        <w:t>установил: муниципальное бюджетное образовательное учреждение дополнительного образования детей детско-юношеский центр «Боевые перчатки» обратилось в суд с иском к Федеральному государственному казенному учреждению «40- й отряд федеральной противопожарной службы по Ростовской области» о взыскании 7 000 руб. убытков.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Дело слушалось с перерывом с 10 по 13 июля 2012 в порядке статьи 163 Арбитражного процессуального кодекса Российской Федерации; по окончании перерыва судебное разбирательство было продолжено в присутствии тех же лиц.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00"/>
      </w:pPr>
      <w:r>
        <w:t>В заседании представитель истца исковые требования поддержал в полном объеме, ссылаясь на то, что 24 июля 2011 г. в 17.ч. 06 мин. сотрудники ответчика прибыли к зданию ДЮЦ «Боевые перчатки» по ложному сигналу датчика пожарной сигнализации. Ложные срабатывания датчиков пожарной сигнализации в здании ДЮЦ «Боевые перчатки» происходят регулярно, и об этом известно диспетчерам центрального пульта приема сигналов о пожаре.</w:t>
      </w:r>
    </w:p>
    <w:p w:rsidR="00FB159D" w:rsidRDefault="00BF7DED">
      <w:pPr>
        <w:pStyle w:val="4"/>
        <w:framePr w:h="232" w:wrap="around" w:hAnchor="margin" w:x="6489" w:y="3325"/>
        <w:shd w:val="clear" w:color="auto" w:fill="auto"/>
        <w:spacing w:after="0" w:line="230" w:lineRule="exact"/>
        <w:ind w:left="100" w:firstLine="0"/>
        <w:jc w:val="left"/>
      </w:pPr>
      <w:r>
        <w:t>Дело № А53-9299/12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00"/>
      </w:pPr>
      <w:r>
        <w:t>В нарушение приказа Министра МЧС № 156 от 31.03.2011 г. «Об утверждении порядка тушения пожаров подразделениями пожарной охраны», сотрудники пожарной части, не попытавшись обнаружить признаки возгорания (огонь, дым, запах гари),</w:t>
      </w:r>
      <w:r w:rsidR="001C0FB6">
        <w:rPr>
          <w:lang w:val="ru-RU"/>
        </w:rPr>
        <w:t xml:space="preserve"> </w:t>
      </w:r>
      <w:bookmarkStart w:id="2" w:name="_GoBack"/>
      <w:bookmarkEnd w:id="2"/>
      <w:r w:rsidR="001C0FB6">
        <w:t xml:space="preserve"> </w:t>
      </w:r>
      <w:r>
        <w:t>незамедлительно приступили к вскрытию входных дверей учреждения, путем срезания металлических петель специальным инструментом (</w:t>
      </w:r>
      <w:proofErr w:type="spellStart"/>
      <w:r>
        <w:t>балгаркой</w:t>
      </w:r>
      <w:proofErr w:type="spellEnd"/>
      <w:r>
        <w:t>).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Сотрудники пожарной части не подошли к пожарному выходу из учреждения, не обследовали помещение по периметру с целью выявления признаков возгорания. В пожарной части № 34 имеется паспорт безопасности ДЮЦ «Боевые перчатки», где стрелками указаны главный и пожарный выходы и пути подъезда и подхода к ним.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В соответствии со ст. 22 ФЗ «О пожарной безопасности», при тушении пожара личный состав пожарной охраны должен принимать меры по сохранению вещественных доказательств и имущества.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lastRenderedPageBreak/>
        <w:t>Согласно п. 2.14. Порядка тушения пожаров подразделениями пожарной охраны, утв. Приказом МЧС России от 31.03.2011 г. № 156, разведка места пожара (далее - разведка) проводится в целях сбора информации о пожаре для оценки обстановки и принятия решений по организации действий по тушению пожара и проведению аварийно- спасательных работ, связанных с тушением пожара.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Согласно п. 2.15. Порядка тушения пожаров..., при проведении разведки устанавливаются: место и параметры пожара, а также возможные пути распространения огня.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Таким образом, сотрудникам пожарной части, прежде чем предпринимать действия по порче имущества ДЮЦ «Боевые перчатки», надлежало убедиться в наличии хотя бы одного признаков пожара, а именно: огонь, задымление, запах гари.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Сотрудники 34-ой пожарной части производили вскрытие дверей без присутствия сотрудников милиции, а также отказались составлять а</w:t>
      </w:r>
      <w:proofErr w:type="gramStart"/>
      <w:r>
        <w:t>кт вскр</w:t>
      </w:r>
      <w:proofErr w:type="gramEnd"/>
      <w:r>
        <w:t>ытия дверей, когда прибыли сотрудники милиции.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В результате действий сотрудников пожарной части, ДЮЦ «Боевые перчатки» были причинены убытки в виде стоимости по восстановлению входной двери, которая составила 7 000 рублей, что подтверждается счетом от 25.07.2011 г. и актом № р-000241 от 26.07.2011 г.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00"/>
      </w:pPr>
      <w:r>
        <w:t>Учитывая, что ответчик не возместил истцу стоимость восстановления двери, истец обратился в суд с настоящим исковым заявлением.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Представитель ответчика исковые требования отклонил, ссылаясь на законность и обоснованность своих действий.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00"/>
      </w:pPr>
      <w:r>
        <w:t>Исследовав материалы дела, выслушав пояснения сторон, участвующих в деле, изучив представленные в материалы дела доказательства, суд пришел к выводу, что исковые требования удовлетворению не подлежат по следующим основаниям.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00"/>
      </w:pPr>
      <w:proofErr w:type="gramStart"/>
      <w:r>
        <w:t>В соответствии со статьей 37 Федерального закона «О пожарной безопасности» руководители организации обязаны, в том числе: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  <w:proofErr w:type="gramEnd"/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00"/>
      </w:pPr>
      <w:proofErr w:type="gramStart"/>
      <w:r>
        <w:t xml:space="preserve">В соответствии со статьями 4, 5, 7, 8 </w:t>
      </w:r>
      <w:r>
        <w:rPr>
          <w:rStyle w:val="11"/>
        </w:rPr>
        <w:t>Федерального закона от 22 июля 2008 № 123- ФЗ «Технический регламент о требованиях пожарной безопасности</w:t>
      </w:r>
      <w:r>
        <w:t xml:space="preserve">» автоматические установки пожаротушения и пожарной сигнализации должны обеспечивать автоматическое обнаружение пожара, подачу управляющих сигналов на технические средства оповещения людей о пожаре и управления эвакуацией людей, приборы управления установками пожаротушения, технические средства управления системой </w:t>
      </w:r>
      <w:proofErr w:type="spellStart"/>
      <w:r>
        <w:t>противодымной</w:t>
      </w:r>
      <w:proofErr w:type="spellEnd"/>
      <w:r>
        <w:t xml:space="preserve"> защиты, инженерным и технологическим</w:t>
      </w:r>
      <w:proofErr w:type="gramEnd"/>
      <w:r>
        <w:t xml:space="preserve"> оборудованием.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560"/>
      </w:pPr>
      <w:r>
        <w:t>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людей, управления системами противопожарной защиты, приборами управления установками пожаротушения.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680"/>
      </w:pPr>
      <w:r>
        <w:t>Согласно статье 22 Федерального закона «О пожарной безопасности» тушение пожаров представляет собой действия, направленные на спасение людей, имущества и ликвидацию пожаров. При тушении пожаров и проведении аварийно-спасательных работ проводятся необходимые действия по обеспечению безопасности людей, спасению имущества, в том числе: проникновение в места распространения (возможного распространения) опасных факторов пожаров, а также опасных проявлений аварий, катастроф и иных чрезвычайных ситуаций. Согласно этой же статье Закона личный состав пожарной охраны, иные участники тушения пожара, ликвидации аварии, катастрофы, иной чрезвычайной ситуации,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80"/>
      </w:pPr>
      <w:r>
        <w:t>Как следует из материалов дела, в помещении истца по адресу: г. Ростов-на-Дону, ул. Капустина, 18/1 24 июля 2011 в 16 ч. 54 мин. сработала пожарная сигнализация, о чем на пульт «ОКО» 1 ПЧ 40 ОФПС по Ростовской области поступил соответствующий сигнал.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680"/>
      </w:pPr>
      <w:r>
        <w:t>При срабатывании пожарной сигнализации дежурный персонал объекта не ответил на телефонные звонки диспетчера, что зафиксировано в электронном журнале ОКО -3 и заявлении диспетчера. Судом установлено, что программа - аппаратный комплекс ОКО-3 находится в диспетчерской ответчика и в связи с этим диспетчер ЦУКС «01» не мог знать о неисправности пожарной сигнализации на объекте.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80"/>
      </w:pPr>
      <w:r>
        <w:t xml:space="preserve">При отсутствии информации о причине срабатывания пожарной сигнализации диспетчер первой Пожарной Части по прямому телефону сообщил на ЦУКС «01» об этом факте, после чего последовала высылка расчета к месту срабатывания пожарной сигнализации. Прибыв на место, пожарный расчет, в </w:t>
      </w:r>
      <w:r>
        <w:lastRenderedPageBreak/>
        <w:t>соответствии с требованиями Приказа Министерства РФ по делам Гражданской обороны, чрезвычайным ситуациям и ликвидации последствий стихийных бедствий № 156 от 31 марта 2011 «Об утверждении порядка тушения пожаров подразделениями пожарной охраны», произвел разведку места пожара.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680"/>
      </w:pPr>
      <w:r>
        <w:t>В процессе проведения разведки было установлено, что дверь объекта заперта, дежурный сотрудник на телефонный звонок не ответил, его местонахождение неизвестно, через окна вся площадь помещений не просматривалась (место возможного пожара).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680"/>
      </w:pPr>
      <w:r>
        <w:t>Действуя в соответствии с требованиями статьи 22 Федерального закона «О пожарной безопасности», работниками пожарного расчета были предприняты безотлагательные действия, направленные на спасение возможно находившихся в помещении людей, имущества и ликвидацию пожара, в том числе - проникновение в места распространения (возможного распространения) опасных факторов пожара путем вскрытия входной двери объекта. После вскрытия входной двери здания ДЮЦ «Боевые перчатки» и обследования всех помещений здания ДЮЦ «Боевые перчатки», пожарным расчетом было установлено отсутствие пожара и, соответственно, факт ложного срабатывания датчиков пожарной сигнализации.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680"/>
      </w:pPr>
      <w:r>
        <w:t>Таким образом, истцом были нарушены требования статьи 37 Федерального закона «О пожарной безопасности» о необходимости содержания в исправном состоянии систем и сре</w:t>
      </w:r>
      <w:proofErr w:type="gramStart"/>
      <w:r>
        <w:t>дств пр</w:t>
      </w:r>
      <w:proofErr w:type="gramEnd"/>
      <w:r>
        <w:t>отивопожарной защиты, а также незамедлительного сообщения в пожарную охрану о возникших неисправностях систем и средств противопожарной защиты. Указанное обстоятельство привело к выезду пожарного расчета на объект по ложному вызову, и, следовательно, послужило причиной осуществления необходимых действий по вскрытию входной двери здания ДЮЦ «Боевые перчатки», направленных на тушение возможного пожара и спасение людей.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r>
        <w:t>В силу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r>
        <w:t>Статьей 1064 Гражданского кодекса Российской Федерации предусмотрено, что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FB159D" w:rsidRDefault="00BF7DED">
      <w:pPr>
        <w:pStyle w:val="4"/>
        <w:shd w:val="clear" w:color="auto" w:fill="auto"/>
        <w:spacing w:after="0" w:line="298" w:lineRule="exact"/>
        <w:ind w:left="20" w:right="20" w:firstLine="720"/>
      </w:pPr>
      <w:proofErr w:type="gramStart"/>
      <w:r>
        <w:t xml:space="preserve">По смыслу статей 15, 1064 Гражданского кодекса Российской Федерации для наступления гражданско-правовой ответственности необходимо доказать наличие состава правонарушения, как противоправного, виновного действия (бездействия), нарушающего субъективные права других участников гражданских правоотношений: противоправность поведения ответчика, факт причинения вреда и размер понесенных убытков, наличие причинно-следственной связи между противоправным деянием и наступившими неблагоприятными последствиями, наличие вины </w:t>
      </w:r>
      <w:proofErr w:type="spellStart"/>
      <w:r>
        <w:t>причинителя</w:t>
      </w:r>
      <w:proofErr w:type="spellEnd"/>
      <w:r>
        <w:t xml:space="preserve"> вреда.</w:t>
      </w:r>
      <w:proofErr w:type="gramEnd"/>
      <w:r>
        <w:t xml:space="preserve"> При недоказанности любого из этих элементов в возмещении ущерба должно быть отказано.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r>
        <w:t xml:space="preserve">Согласно </w:t>
      </w:r>
      <w:r>
        <w:rPr>
          <w:rStyle w:val="2"/>
        </w:rPr>
        <w:t>статье 65</w:t>
      </w:r>
      <w:r>
        <w:rPr>
          <w:rStyle w:val="3"/>
        </w:rPr>
        <w:t xml:space="preserve"> </w:t>
      </w:r>
      <w:r>
        <w:t>Арбитражного процессуального кодекса Российской Федерации каждое лицо, участвующее в деле, должно доказать обстоятельства, на которые оно ссылается как на основани</w:t>
      </w:r>
      <w:proofErr w:type="gramStart"/>
      <w:r>
        <w:t>е</w:t>
      </w:r>
      <w:proofErr w:type="gramEnd"/>
      <w:r>
        <w:t xml:space="preserve"> своих требований и возражений.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r>
        <w:t xml:space="preserve">Бремя доказывания наличия и размера вреда, причинной связи между возникшим вредом (убытками) и действиями </w:t>
      </w:r>
      <w:proofErr w:type="spellStart"/>
      <w:r>
        <w:t>причинителя</w:t>
      </w:r>
      <w:proofErr w:type="spellEnd"/>
      <w:r>
        <w:t xml:space="preserve"> вреда лежит на истце, который должен доказать наличие вышеперечисленных условий для возмещения вреда.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600"/>
      </w:pPr>
      <w:proofErr w:type="gramStart"/>
      <w:r>
        <w:t>Суд считает, что представленными в материалы дела документами, истцом не доказаны неправомерные действия ответчика по вскрытию входной двери здания истца, тогда как в соответствии со статьей 22 Федерального закона «О пожарной безопасности» личный состав пожарной охраны, иные участники тушения пожара, ликвидации аварии, катастрофы, иной чрезвычайной ситуации, действовавшие в условиях крайней необходимости и (или) обоснованного риска, от возмещения причиненного ущерба освобождаются.</w:t>
      </w:r>
      <w:proofErr w:type="gramEnd"/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600"/>
      </w:pPr>
      <w:proofErr w:type="gramStart"/>
      <w:r>
        <w:t xml:space="preserve">Доводы истца о том, что сотрудники 40-го отряда могли установить отсутствие признаков пожара (огонь, задымление, запах гари) не проникая внутрь здания, судом во внимание не принимаются, поскольку пожарный расчет в соответствии с указанными выше нормативными актами в целях спасения возможно находившихся в помещении людей, имущества и ликвидации пожара, обязан был абсолютно </w:t>
      </w:r>
      <w:r>
        <w:lastRenderedPageBreak/>
        <w:t>точно установить факт отсутствия пожара, что невозможно без обследования</w:t>
      </w:r>
      <w:proofErr w:type="gramEnd"/>
      <w:r>
        <w:t xml:space="preserve"> всех помещений здания ДЮЦ «Боевые перчатки», как просматривающихся из окон здания, так и не имеющих окон.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r>
        <w:t>Более того, доказатель</w:t>
      </w:r>
      <w:proofErr w:type="gramStart"/>
      <w:r>
        <w:t>ств пр</w:t>
      </w:r>
      <w:proofErr w:type="gramEnd"/>
      <w:r>
        <w:t>едоставления ответчику паспорта безопасности ДЮЦ «Боевые перчатки» с планом подъездных путей, с содержанием схемы пожарного проезда, в материалы дела не представлено.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r>
        <w:t xml:space="preserve">Доводы истца о том, что вскрытие дверей было произведено без присутствия сотрудников милиции судом во внимание не принимаются, поскольку указанными выше нормативными актами не предусмотрена возможность вскрытия дверей на </w:t>
      </w:r>
      <w:proofErr w:type="gramStart"/>
      <w:r>
        <w:t>объекте</w:t>
      </w:r>
      <w:proofErr w:type="gramEnd"/>
      <w:r>
        <w:t xml:space="preserve"> на котором сработала пожарная сигнализация только в присутствии сотрудников милиции.</w:t>
      </w:r>
    </w:p>
    <w:p w:rsidR="00FB159D" w:rsidRDefault="00BF7DED">
      <w:pPr>
        <w:pStyle w:val="4"/>
        <w:shd w:val="clear" w:color="auto" w:fill="auto"/>
        <w:spacing w:after="0" w:line="274" w:lineRule="exact"/>
        <w:ind w:left="20" w:right="20" w:firstLine="720"/>
      </w:pPr>
      <w:r>
        <w:t>Доводы истца о том, что сотрудники 40-го отряда отказались составлять а</w:t>
      </w:r>
      <w:proofErr w:type="gramStart"/>
      <w:r>
        <w:t>кт вскр</w:t>
      </w:r>
      <w:proofErr w:type="gramEnd"/>
      <w:r>
        <w:t>ытия дверей, когда прибыли сотрудники милиции, не имеет правового значения при оценке действий 40-го отряда по вскрытию входной двери здания ДЮЦ «Боевые перчатки».</w:t>
      </w:r>
    </w:p>
    <w:p w:rsidR="001C0FB6" w:rsidRDefault="001C0FB6" w:rsidP="001C0FB6">
      <w:pPr>
        <w:pStyle w:val="4"/>
        <w:shd w:val="clear" w:color="auto" w:fill="auto"/>
        <w:spacing w:after="538" w:line="230" w:lineRule="exact"/>
        <w:ind w:firstLine="0"/>
        <w:rPr>
          <w:lang w:val="ru-RU"/>
        </w:rPr>
      </w:pPr>
    </w:p>
    <w:p w:rsidR="001C0FB6" w:rsidRDefault="001C0FB6" w:rsidP="001C0FB6">
      <w:pPr>
        <w:pStyle w:val="4"/>
        <w:shd w:val="clear" w:color="auto" w:fill="auto"/>
        <w:spacing w:after="538" w:line="230" w:lineRule="exact"/>
        <w:ind w:firstLine="0"/>
        <w:rPr>
          <w:lang w:val="ru-RU"/>
        </w:rPr>
      </w:pPr>
    </w:p>
    <w:p w:rsidR="00FB159D" w:rsidRDefault="00BF7DED" w:rsidP="001C0FB6">
      <w:pPr>
        <w:pStyle w:val="4"/>
        <w:shd w:val="clear" w:color="auto" w:fill="auto"/>
        <w:spacing w:after="538" w:line="230" w:lineRule="exact"/>
        <w:ind w:firstLine="0"/>
      </w:pPr>
      <w:r>
        <w:t xml:space="preserve">Учитывая </w:t>
      </w:r>
      <w:proofErr w:type="gramStart"/>
      <w:r>
        <w:t>изложенное</w:t>
      </w:r>
      <w:proofErr w:type="gramEnd"/>
      <w:r>
        <w:t>, в удовлетворении исковых требований следует отказать.</w:t>
      </w:r>
    </w:p>
    <w:p w:rsidR="00FB159D" w:rsidRDefault="00BF7DED" w:rsidP="001C0FB6">
      <w:pPr>
        <w:pStyle w:val="4"/>
        <w:shd w:val="clear" w:color="auto" w:fill="auto"/>
        <w:spacing w:after="293" w:line="230" w:lineRule="exact"/>
        <w:ind w:firstLine="0"/>
      </w:pPr>
      <w:r>
        <w:t>Руководствуясь статьями 110, 167-170 АПК РФ, арбитражный суд</w:t>
      </w:r>
    </w:p>
    <w:p w:rsidR="00FB159D" w:rsidRDefault="00BF7DED" w:rsidP="001C0FB6">
      <w:pPr>
        <w:pStyle w:val="21"/>
        <w:shd w:val="clear" w:color="auto" w:fill="auto"/>
        <w:spacing w:before="0" w:after="0" w:line="230" w:lineRule="exact"/>
        <w:jc w:val="center"/>
      </w:pPr>
      <w:bookmarkStart w:id="3" w:name="bookmark2"/>
      <w:r>
        <w:t>РЕШИЛ:</w:t>
      </w:r>
      <w:bookmarkEnd w:id="3"/>
    </w:p>
    <w:p w:rsidR="00FB159D" w:rsidRDefault="00BF7DED" w:rsidP="001C0FB6">
      <w:pPr>
        <w:pStyle w:val="4"/>
        <w:shd w:val="clear" w:color="auto" w:fill="auto"/>
        <w:spacing w:after="253" w:line="230" w:lineRule="exact"/>
        <w:ind w:firstLine="0"/>
      </w:pPr>
      <w:r>
        <w:t>В иске отказать.</w:t>
      </w:r>
    </w:p>
    <w:p w:rsidR="00FB159D" w:rsidRDefault="00BF7DED" w:rsidP="001C0FB6">
      <w:pPr>
        <w:pStyle w:val="4"/>
        <w:shd w:val="clear" w:color="auto" w:fill="auto"/>
        <w:spacing w:after="0" w:line="274" w:lineRule="exact"/>
        <w:ind w:right="20" w:firstLine="0"/>
      </w:pPr>
      <w:r>
        <w:t>Решение суда по настоящему делу вступает в законную силу по истечении месячного срока со дня его принятия, если не подана апелляционная жалоба. В случае подачи апелляционной жалобы решение, если оно не отменено и не изменено, вступает в законную силу со дня принятия постановления арбитражного суда апелляционной инстанции.</w:t>
      </w:r>
    </w:p>
    <w:p w:rsidR="00FB159D" w:rsidRDefault="00BF7DED" w:rsidP="001C0FB6">
      <w:pPr>
        <w:pStyle w:val="4"/>
        <w:shd w:val="clear" w:color="auto" w:fill="auto"/>
        <w:spacing w:after="0" w:line="274" w:lineRule="exact"/>
        <w:ind w:right="20" w:firstLine="0"/>
      </w:pPr>
      <w:r>
        <w:t xml:space="preserve">Решение суда по настоящему делу может быть обжаловано в апелляционном порядке в Пятнадцатый арбитражный апелляционный суд в течение месяца </w:t>
      </w:r>
      <w:proofErr w:type="gramStart"/>
      <w:r>
        <w:t>с даты принятия</w:t>
      </w:r>
      <w:proofErr w:type="gramEnd"/>
      <w:r>
        <w:t xml:space="preserve"> решения, через суд принявший решение.</w:t>
      </w:r>
    </w:p>
    <w:p w:rsidR="00FB159D" w:rsidRDefault="00BF7DED" w:rsidP="001C0FB6">
      <w:pPr>
        <w:pStyle w:val="4"/>
        <w:framePr w:h="232" w:vSpace="320" w:wrap="around" w:vAnchor="text" w:hAnchor="margin" w:x="633" w:y="1924"/>
        <w:shd w:val="clear" w:color="auto" w:fill="auto"/>
        <w:spacing w:after="0" w:line="230" w:lineRule="exact"/>
        <w:ind w:firstLine="0"/>
        <w:jc w:val="left"/>
      </w:pPr>
      <w:r>
        <w:t>Судья</w:t>
      </w:r>
    </w:p>
    <w:p w:rsidR="00FB159D" w:rsidRDefault="00BF7DED" w:rsidP="001C0FB6">
      <w:pPr>
        <w:pStyle w:val="4"/>
        <w:shd w:val="clear" w:color="auto" w:fill="auto"/>
        <w:spacing w:after="275" w:line="274" w:lineRule="exact"/>
        <w:ind w:right="20" w:firstLine="0"/>
        <w:jc w:val="left"/>
      </w:pPr>
      <w:proofErr w:type="gramStart"/>
      <w:r>
        <w:t>Решение суда по настоящему делу может быть обжаловано в кассационном порядке в Федеральный арбитражный суд Северо-Кавказского округа в течение двух месяцев с даты вступления решения по делу в законную силу через суд, вынесший решение, при условии, что оно было предметом рассмотрения арбитражного суда апелляционной инстанции или суд ап</w:t>
      </w:r>
      <w:r w:rsidR="001C0FB6">
        <w:t>елляционной инстанции отказал в</w:t>
      </w:r>
      <w:r w:rsidR="001C0FB6">
        <w:rPr>
          <w:lang w:val="ru-RU"/>
        </w:rPr>
        <w:t xml:space="preserve"> </w:t>
      </w:r>
      <w:r>
        <w:t>восстановлении пропущенного срока подачи апелляционной жалобы.</w:t>
      </w:r>
      <w:proofErr w:type="gramEnd"/>
    </w:p>
    <w:p w:rsidR="001C0FB6" w:rsidRDefault="001C0FB6" w:rsidP="001C0FB6">
      <w:pPr>
        <w:pStyle w:val="4"/>
        <w:shd w:val="clear" w:color="auto" w:fill="auto"/>
        <w:spacing w:after="0" w:line="230" w:lineRule="exact"/>
        <w:ind w:firstLine="0"/>
        <w:jc w:val="left"/>
        <w:rPr>
          <w:lang w:val="ru-RU"/>
        </w:rPr>
      </w:pPr>
    </w:p>
    <w:p w:rsidR="00FB159D" w:rsidRDefault="001C0FB6" w:rsidP="001C0FB6">
      <w:pPr>
        <w:pStyle w:val="4"/>
        <w:shd w:val="clear" w:color="auto" w:fill="auto"/>
        <w:spacing w:after="0" w:line="230" w:lineRule="exact"/>
        <w:ind w:firstLine="0"/>
        <w:jc w:val="left"/>
      </w:pPr>
      <w:r>
        <w:rPr>
          <w:lang w:val="ru-RU"/>
        </w:rPr>
        <w:t xml:space="preserve">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F7DED">
        <w:t>Т.Б. Соколова</w:t>
      </w:r>
    </w:p>
    <w:sectPr w:rsidR="00FB159D" w:rsidSect="001C0FB6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82" w:rsidRDefault="008E4D82">
      <w:r>
        <w:separator/>
      </w:r>
    </w:p>
  </w:endnote>
  <w:endnote w:type="continuationSeparator" w:id="0">
    <w:p w:rsidR="008E4D82" w:rsidRDefault="008E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82" w:rsidRDefault="008E4D82"/>
  </w:footnote>
  <w:footnote w:type="continuationSeparator" w:id="0">
    <w:p w:rsidR="008E4D82" w:rsidRDefault="008E4D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D"/>
    <w:rsid w:val="001C0FB6"/>
    <w:rsid w:val="00290D0D"/>
    <w:rsid w:val="008E4D82"/>
    <w:rsid w:val="00BF7DED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0" w:lineRule="atLeas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C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0" w:lineRule="atLeas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C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Karaton</dc:creator>
  <cp:lastModifiedBy>Karaton</cp:lastModifiedBy>
  <cp:revision>3</cp:revision>
  <dcterms:created xsi:type="dcterms:W3CDTF">2013-02-20T13:35:00Z</dcterms:created>
  <dcterms:modified xsi:type="dcterms:W3CDTF">2013-02-20T13:47:00Z</dcterms:modified>
</cp:coreProperties>
</file>